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F43D8" w14:textId="77777777" w:rsidR="007E2908" w:rsidRDefault="007E2908" w:rsidP="007E2908">
      <w:pPr>
        <w:spacing w:after="0" w:line="240" w:lineRule="auto"/>
        <w:rPr>
          <w:rFonts w:ascii="Arial" w:hAnsi="Arial" w:cs="Arial"/>
          <w:b/>
          <w:color w:val="1F3864" w:themeColor="accent1" w:themeShade="80"/>
        </w:rPr>
      </w:pPr>
      <w:r>
        <w:rPr>
          <w:rFonts w:ascii="Arial" w:hAnsi="Arial" w:cs="Arial"/>
          <w:b/>
          <w:noProof/>
          <w:color w:val="1F3864" w:themeColor="accent1" w:themeShade="80"/>
          <w:lang w:eastAsia="pt-BR"/>
        </w:rPr>
        <w:drawing>
          <wp:anchor distT="0" distB="0" distL="114300" distR="114300" simplePos="0" relativeHeight="251669504" behindDoc="0" locked="0" layoutInCell="1" allowOverlap="1" wp14:anchorId="7A59357F" wp14:editId="4B6648F7">
            <wp:simplePos x="0" y="0"/>
            <wp:positionH relativeFrom="column">
              <wp:posOffset>-758825</wp:posOffset>
            </wp:positionH>
            <wp:positionV relativeFrom="paragraph">
              <wp:posOffset>1905</wp:posOffset>
            </wp:positionV>
            <wp:extent cx="6931025" cy="2124075"/>
            <wp:effectExtent l="0" t="0" r="3175" b="9525"/>
            <wp:wrapSquare wrapText="bothSides"/>
            <wp:docPr id="713589128" name="Imagem 713589128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589128" name="Imagem 713589128" descr="Interface gráfica do usuário, Texto, Aplicativo&#10;&#10;O conteúdo gerado por IA pode estar incorre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1"/>
                    <a:stretch/>
                  </pic:blipFill>
                  <pic:spPr bwMode="auto">
                    <a:xfrm>
                      <a:off x="0" y="0"/>
                      <a:ext cx="6931025" cy="212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32AB705" w14:textId="77777777" w:rsidR="007E2908" w:rsidRDefault="007E2908" w:rsidP="007E2908">
      <w:pPr>
        <w:spacing w:after="0" w:line="240" w:lineRule="auto"/>
        <w:jc w:val="center"/>
        <w:rPr>
          <w:rFonts w:ascii="Arial" w:hAnsi="Arial" w:cs="Arial"/>
          <w:b/>
          <w:color w:val="1F3864" w:themeColor="accent1" w:themeShade="80"/>
        </w:rPr>
      </w:pPr>
      <w:r w:rsidRPr="00B52785">
        <w:rPr>
          <w:rFonts w:ascii="Arial" w:hAnsi="Arial" w:cs="Arial"/>
          <w:b/>
          <w:color w:val="1F3864" w:themeColor="accent1" w:themeShade="80"/>
        </w:rPr>
        <w:t>Componente Curricular de</w:t>
      </w:r>
      <w:r>
        <w:rPr>
          <w:rFonts w:ascii="Arial" w:hAnsi="Arial" w:cs="Arial"/>
          <w:b/>
          <w:color w:val="1F3864" w:themeColor="accent1" w:themeShade="80"/>
        </w:rPr>
        <w:t xml:space="preserve"> História</w:t>
      </w:r>
    </w:p>
    <w:p w14:paraId="58BC16E7" w14:textId="77777777" w:rsidR="007E2908" w:rsidRPr="00B52785" w:rsidRDefault="007E2908" w:rsidP="007E2908">
      <w:pPr>
        <w:spacing w:after="0" w:line="240" w:lineRule="auto"/>
        <w:jc w:val="center"/>
        <w:rPr>
          <w:rFonts w:ascii="Arial" w:hAnsi="Arial" w:cs="Arial"/>
          <w:b/>
          <w:color w:val="1F3864" w:themeColor="accent1" w:themeShade="80"/>
        </w:rPr>
      </w:pPr>
    </w:p>
    <w:p w14:paraId="42C77ED3" w14:textId="77777777" w:rsidR="007E2908" w:rsidRPr="00205EA1" w:rsidRDefault="007E2908" w:rsidP="007E2908">
      <w:pPr>
        <w:spacing w:after="0" w:line="240" w:lineRule="auto"/>
        <w:jc w:val="center"/>
        <w:rPr>
          <w:rFonts w:ascii="Arial" w:hAnsi="Arial" w:cs="Arial"/>
          <w:b/>
          <w:color w:val="2E74B5" w:themeColor="accent5" w:themeShade="BF"/>
        </w:rPr>
      </w:pPr>
      <w:r w:rsidRPr="00736C83">
        <w:rPr>
          <w:rFonts w:ascii="Arial" w:hAnsi="Arial" w:cs="Arial"/>
          <w:b/>
          <w:noProof/>
          <w:color w:val="1F3864" w:themeColor="accent1" w:themeShade="8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0A0113" wp14:editId="7AB1DC0C">
                <wp:simplePos x="0" y="0"/>
                <wp:positionH relativeFrom="margin">
                  <wp:align>center</wp:align>
                </wp:positionH>
                <wp:positionV relativeFrom="paragraph">
                  <wp:posOffset>338455</wp:posOffset>
                </wp:positionV>
                <wp:extent cx="6819900" cy="10477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93B1" w14:textId="77777777" w:rsidR="007E2908" w:rsidRDefault="007E2908" w:rsidP="007E290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</w:rPr>
                            </w:pPr>
                            <w:r w:rsidRPr="000449B8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</w:rPr>
                              <w:t>Objeto(s) de conhecimento(s):</w:t>
                            </w:r>
                          </w:p>
                          <w:p w14:paraId="6B80B8AD" w14:textId="77777777" w:rsidR="007E2908" w:rsidRDefault="007E2908" w:rsidP="007E290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</w:rPr>
                            </w:pPr>
                          </w:p>
                          <w:p w14:paraId="673D5EB9" w14:textId="77777777" w:rsidR="007E2908" w:rsidRDefault="007E2908" w:rsidP="007E2908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>GUIA DE RECUPERAÇÃO</w:t>
                            </w:r>
                            <w:r w:rsidRPr="00D91234"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 xml:space="preserve">: </w:t>
                            </w:r>
                            <w:r w:rsidRPr="00B928F0">
                              <w:rPr>
                                <w:rFonts w:ascii="Arial" w:eastAsia="Times New Roman" w:hAnsi="Arial" w:cs="Arial"/>
                                <w:b/>
                                <w:lang w:eastAsia="pt-BR"/>
                              </w:rPr>
                              <w:t>Revolução Industrial, Pensamento social do século XIX, Imperialismo e Unificação da Itália e da Alemanha</w:t>
                            </w:r>
                          </w:p>
                          <w:p w14:paraId="627EA097" w14:textId="77777777" w:rsidR="007E2908" w:rsidRPr="00B343A6" w:rsidRDefault="007E2908" w:rsidP="007E290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Cs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A011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6.65pt;width:537pt;height:82.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">
                <v:textbox>
                  <w:txbxContent>
                    <w:p w14:paraId="1A7A93B1" w14:textId="77777777" w:rsidR="007E2908" w:rsidRDefault="007E2908" w:rsidP="007E290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1F3864" w:themeColor="accent1" w:themeShade="80"/>
                        </w:rPr>
                      </w:pPr>
                      <w:r w:rsidRPr="000449B8">
                        <w:rPr>
                          <w:rFonts w:ascii="Arial" w:hAnsi="Arial" w:cs="Arial"/>
                          <w:b/>
                          <w:color w:val="1F3864" w:themeColor="accent1" w:themeShade="80"/>
                        </w:rPr>
                        <w:t>Objeto(s) de conhecimento(s):</w:t>
                      </w:r>
                    </w:p>
                    <w:p w14:paraId="6B80B8AD" w14:textId="77777777" w:rsidR="007E2908" w:rsidRDefault="007E2908" w:rsidP="007E290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  <w:color w:val="1F3864" w:themeColor="accent1" w:themeShade="80"/>
                        </w:rPr>
                      </w:pPr>
                    </w:p>
                    <w:p w14:paraId="673D5EB9" w14:textId="77777777" w:rsidR="007E2908" w:rsidRDefault="007E2908" w:rsidP="007E2908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GUIA DE RECUPERAÇÃO</w:t>
                      </w:r>
                      <w:r w:rsidRPr="00D91234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 xml:space="preserve">: </w:t>
                      </w:r>
                      <w:r w:rsidRPr="00B928F0">
                        <w:rPr>
                          <w:rFonts w:ascii="Arial" w:eastAsia="Times New Roman" w:hAnsi="Arial" w:cs="Arial"/>
                          <w:b/>
                          <w:lang w:eastAsia="pt-BR"/>
                        </w:rPr>
                        <w:t>Revolução Industrial, Pensamento social do século XIX, Imperialismo e Unificação da Itália e da Alemanha</w:t>
                      </w:r>
                    </w:p>
                    <w:p w14:paraId="627EA097" w14:textId="77777777" w:rsidR="007E2908" w:rsidRPr="00B343A6" w:rsidRDefault="007E2908" w:rsidP="007E2908">
                      <w:pPr>
                        <w:spacing w:after="0" w:line="276" w:lineRule="auto"/>
                        <w:rPr>
                          <w:rFonts w:ascii="Arial" w:hAnsi="Arial" w:cs="Arial"/>
                          <w:bCs/>
                          <w:color w:val="1F3864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2785">
        <w:rPr>
          <w:rFonts w:ascii="Arial" w:hAnsi="Arial" w:cs="Arial"/>
          <w:b/>
          <w:color w:val="1F3864" w:themeColor="accent1" w:themeShade="80"/>
        </w:rPr>
        <w:t>Professor</w:t>
      </w:r>
      <w:r w:rsidRPr="00B52785">
        <w:rPr>
          <w:rFonts w:ascii="Arial" w:hAnsi="Arial" w:cs="Arial"/>
          <w:b/>
          <w:color w:val="2E74B5" w:themeColor="accent5" w:themeShade="BF"/>
        </w:rPr>
        <w:t>(a)</w:t>
      </w:r>
      <w:r>
        <w:rPr>
          <w:rFonts w:ascii="Arial" w:hAnsi="Arial" w:cs="Arial"/>
          <w:b/>
          <w:color w:val="2E74B5" w:themeColor="accent5" w:themeShade="BF"/>
        </w:rPr>
        <w:t xml:space="preserve"> Gisele Thiel Della Cruz</w:t>
      </w:r>
    </w:p>
    <w:p w14:paraId="7A32DD98" w14:textId="77777777" w:rsidR="00D91234" w:rsidRPr="0014709D" w:rsidRDefault="00D91234" w:rsidP="00D912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530D1EF" w14:textId="39320EF6" w:rsidR="00D91234" w:rsidRPr="00AB0491" w:rsidRDefault="00AB0491" w:rsidP="00AB049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4709D">
        <w:rPr>
          <w:rFonts w:ascii="Times New Roman" w:eastAsia="Times New Roman" w:hAnsi="Times New Roman" w:cs="Times New Roman"/>
          <w:noProof/>
          <w:sz w:val="24"/>
          <w:szCs w:val="20"/>
          <w:lang w:eastAsia="pt-BR"/>
        </w:rPr>
        <w:drawing>
          <wp:anchor distT="0" distB="0" distL="114300" distR="114300" simplePos="0" relativeHeight="251663360" behindDoc="1" locked="0" layoutInCell="1" allowOverlap="1" wp14:anchorId="4FC87C6A" wp14:editId="11B6C0AD">
            <wp:simplePos x="0" y="0"/>
            <wp:positionH relativeFrom="margin">
              <wp:posOffset>3053715</wp:posOffset>
            </wp:positionH>
            <wp:positionV relativeFrom="paragraph">
              <wp:posOffset>43180</wp:posOffset>
            </wp:positionV>
            <wp:extent cx="2676525" cy="3690620"/>
            <wp:effectExtent l="0" t="0" r="9525" b="5080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2" name="Imagem 2" descr="http://1.bp.blogspot.com/-2sNovH0mpbg/Uh-JfM5ZAXI/AAAAAAAAADw/boa8y0Wr2fQ/s200/imagem+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2sNovH0mpbg/Uh-JfM5ZAXI/AAAAAAAAADw/boa8y0Wr2fQ/s200/imagem+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69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F0">
        <w:rPr>
          <w:rFonts w:ascii="Arial" w:eastAsia="Times New Roman" w:hAnsi="Arial" w:cs="Arial"/>
          <w:b/>
          <w:bCs/>
          <w:lang w:eastAsia="pt-BR"/>
        </w:rPr>
        <w:t>1</w:t>
      </w:r>
      <w:r w:rsidR="00D91234" w:rsidRPr="00D91234">
        <w:rPr>
          <w:rFonts w:ascii="Arial" w:eastAsia="Times New Roman" w:hAnsi="Arial" w:cs="Arial"/>
          <w:b/>
          <w:bCs/>
          <w:lang w:eastAsia="pt-BR"/>
        </w:rPr>
        <w:t>.</w:t>
      </w:r>
      <w:r w:rsidR="00D91234">
        <w:rPr>
          <w:rFonts w:ascii="Arial" w:eastAsia="Times New Roman" w:hAnsi="Arial" w:cs="Arial"/>
          <w:lang w:eastAsia="pt-BR"/>
        </w:rPr>
        <w:t xml:space="preserve"> </w:t>
      </w:r>
      <w:r w:rsidR="00D91234" w:rsidRPr="0014709D">
        <w:rPr>
          <w:rFonts w:ascii="Arial" w:eastAsia="Times New Roman" w:hAnsi="Arial" w:cs="Arial"/>
          <w:lang w:eastAsia="pt-BR"/>
        </w:rPr>
        <w:t>O cartaz a</w:t>
      </w:r>
      <w:r w:rsidR="00D91234">
        <w:rPr>
          <w:rFonts w:ascii="Arial" w:eastAsia="Times New Roman" w:hAnsi="Arial" w:cs="Arial"/>
          <w:lang w:eastAsia="pt-BR"/>
        </w:rPr>
        <w:t>o lado</w:t>
      </w:r>
      <w:r w:rsidR="00D91234" w:rsidRPr="0014709D">
        <w:rPr>
          <w:rFonts w:ascii="Arial" w:eastAsia="Times New Roman" w:hAnsi="Arial" w:cs="Arial"/>
          <w:lang w:eastAsia="pt-BR"/>
        </w:rPr>
        <w:t xml:space="preserve"> parte de uma campanha sindical pela redução da jornada diária de trabalho, foi divulgado em 1919 pela União Interdepartamental da Confederação Geral dos Trabalhadores da Região do Sena, na França. </w:t>
      </w:r>
    </w:p>
    <w:p w14:paraId="0CF28AEE" w14:textId="77777777" w:rsidR="00D91234" w:rsidRPr="0014709D" w:rsidRDefault="00D91234" w:rsidP="00D91234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14709D">
        <w:rPr>
          <w:rFonts w:ascii="Arial" w:eastAsia="Times New Roman" w:hAnsi="Arial" w:cs="Arial"/>
          <w:lang w:eastAsia="pt-BR"/>
        </w:rPr>
        <w:br/>
        <w:t xml:space="preserve">a) Apresente as condições de trabalho e de vida dos operários à época da Industrialização dos séculos XVIII e XIX. </w:t>
      </w:r>
    </w:p>
    <w:p w14:paraId="44901E30" w14:textId="04EC2F81" w:rsidR="00D91234" w:rsidRDefault="00D91234"/>
    <w:p w14:paraId="73E71C89" w14:textId="043EA836" w:rsidR="00AB0491" w:rsidRDefault="00AB0491"/>
    <w:p w14:paraId="72C7DD95" w14:textId="788C7F48" w:rsidR="00AB0491" w:rsidRDefault="00AB0491"/>
    <w:p w14:paraId="40FBEB90" w14:textId="1B88B746" w:rsidR="00AB0491" w:rsidRDefault="00AB0491"/>
    <w:p w14:paraId="66EBC89A" w14:textId="7E7BA36B" w:rsidR="00AB0491" w:rsidRDefault="00AB0491"/>
    <w:p w14:paraId="68393A27" w14:textId="7678D4CA" w:rsidR="00AB0491" w:rsidRDefault="00AB0491"/>
    <w:p w14:paraId="1488356F" w14:textId="7FE4FDF8" w:rsidR="00AB0491" w:rsidRDefault="00AB0491"/>
    <w:p w14:paraId="0EF014DF" w14:textId="77777777" w:rsidR="00AB0491" w:rsidRDefault="00AB0491"/>
    <w:p w14:paraId="081C8CCE" w14:textId="77777777" w:rsidR="00AB0491" w:rsidRDefault="00AB0491"/>
    <w:p w14:paraId="7B247B31" w14:textId="2C27D978" w:rsidR="00CD34F7" w:rsidRDefault="00B928F0" w:rsidP="00CD34F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>2</w:t>
      </w:r>
      <w:r w:rsidR="00CD34F7" w:rsidRPr="00CD34F7">
        <w:rPr>
          <w:rFonts w:ascii="Arial" w:eastAsia="Times New Roman" w:hAnsi="Arial" w:cs="Arial"/>
          <w:b/>
          <w:bCs/>
          <w:lang w:eastAsia="pt-BR"/>
        </w:rPr>
        <w:t>.</w:t>
      </w:r>
      <w:r w:rsidR="00CD34F7">
        <w:rPr>
          <w:rFonts w:ascii="Arial" w:eastAsia="Times New Roman" w:hAnsi="Arial" w:cs="Arial"/>
          <w:lang w:eastAsia="pt-BR"/>
        </w:rPr>
        <w:t xml:space="preserve"> </w:t>
      </w:r>
      <w:r w:rsidR="00CD34F7" w:rsidRPr="00411317">
        <w:rPr>
          <w:rFonts w:ascii="Arial" w:eastAsia="Times New Roman" w:hAnsi="Arial" w:cs="Arial"/>
          <w:lang w:eastAsia="pt-BR"/>
        </w:rPr>
        <w:t>Através de que fatores e condições especiais se pode explicar o fato de a Inglaterra ter sido o primeiro país a desenvolver a Revolução Industrial?</w:t>
      </w:r>
    </w:p>
    <w:p w14:paraId="66D57720" w14:textId="3B761CE3" w:rsidR="00CD34F7" w:rsidRDefault="00CD34F7" w:rsidP="00CD34F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B4A1A91" w14:textId="3D3F10E6" w:rsidR="00805157" w:rsidRPr="00805157" w:rsidRDefault="00805157" w:rsidP="0080515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05157">
        <w:rPr>
          <w:rFonts w:ascii="Arial" w:eastAsia="Times New Roman" w:hAnsi="Arial" w:cs="Arial"/>
          <w:b/>
          <w:bCs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545CF275" wp14:editId="347276F3">
            <wp:simplePos x="0" y="0"/>
            <wp:positionH relativeFrom="margin">
              <wp:posOffset>3285490</wp:posOffset>
            </wp:positionH>
            <wp:positionV relativeFrom="paragraph">
              <wp:posOffset>5080</wp:posOffset>
            </wp:positionV>
            <wp:extent cx="2254250" cy="1080135"/>
            <wp:effectExtent l="0" t="0" r="0" b="5715"/>
            <wp:wrapSquare wrapText="bothSides"/>
            <wp:docPr id="85922370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2370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F0">
        <w:rPr>
          <w:rFonts w:ascii="Arial" w:eastAsia="Times New Roman" w:hAnsi="Arial" w:cs="Arial"/>
          <w:b/>
          <w:bCs/>
          <w:lang w:eastAsia="pt-BR"/>
        </w:rPr>
        <w:t>3</w:t>
      </w:r>
      <w:r w:rsidR="00CD34F7" w:rsidRPr="00CD34F7">
        <w:rPr>
          <w:rFonts w:ascii="Arial" w:eastAsia="Times New Roman" w:hAnsi="Arial" w:cs="Arial"/>
          <w:b/>
          <w:bCs/>
          <w:lang w:eastAsia="pt-BR"/>
        </w:rPr>
        <w:t xml:space="preserve">. </w:t>
      </w:r>
      <w:r w:rsidRPr="00805157">
        <w:rPr>
          <w:rFonts w:ascii="Arial" w:eastAsia="Times New Roman" w:hAnsi="Arial" w:cs="Arial"/>
          <w:lang w:eastAsia="pt-BR"/>
        </w:rPr>
        <w:t xml:space="preserve">A fusão da Sadia com a Perdigão, em maio de 2009, resultou na criação da </w:t>
      </w:r>
      <w:proofErr w:type="spellStart"/>
      <w:r w:rsidRPr="00805157">
        <w:rPr>
          <w:rFonts w:ascii="Arial" w:eastAsia="Times New Roman" w:hAnsi="Arial" w:cs="Arial"/>
          <w:lang w:eastAsia="pt-BR"/>
        </w:rPr>
        <w:t>Brazil</w:t>
      </w:r>
      <w:proofErr w:type="spellEnd"/>
      <w:r w:rsidRPr="00805157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805157">
        <w:rPr>
          <w:rFonts w:ascii="Arial" w:eastAsia="Times New Roman" w:hAnsi="Arial" w:cs="Arial"/>
          <w:lang w:eastAsia="pt-BR"/>
        </w:rPr>
        <w:t>Foods</w:t>
      </w:r>
      <w:proofErr w:type="spellEnd"/>
      <w:r w:rsidRPr="00805157">
        <w:rPr>
          <w:rFonts w:ascii="Arial" w:eastAsia="Times New Roman" w:hAnsi="Arial" w:cs="Arial"/>
          <w:lang w:eastAsia="pt-BR"/>
        </w:rPr>
        <w:t xml:space="preserve">, décima maior empresa alimentícia do continente americano e segunda do país. Esse evento é decorrente de uma estratégia das grandes corporações e representa uma tendência mundial da atual fase do capitalismo. </w:t>
      </w:r>
    </w:p>
    <w:p w14:paraId="089A308A" w14:textId="45D491E5" w:rsidR="00805157" w:rsidRDefault="00805157" w:rsidP="0080515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5A048706" w14:textId="64EA3904" w:rsidR="00805157" w:rsidRDefault="007C66EE" w:rsidP="0080515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Descreva</w:t>
      </w:r>
      <w:r w:rsidR="00CD34F7" w:rsidRPr="007C66EE">
        <w:rPr>
          <w:rFonts w:ascii="Arial" w:eastAsia="Times New Roman" w:hAnsi="Arial" w:cs="Arial"/>
          <w:lang w:eastAsia="pt-BR"/>
        </w:rPr>
        <w:t xml:space="preserve"> </w:t>
      </w:r>
      <w:r w:rsidR="00805157">
        <w:rPr>
          <w:rFonts w:ascii="Arial" w:eastAsia="Times New Roman" w:hAnsi="Arial" w:cs="Arial"/>
          <w:lang w:eastAsia="pt-BR"/>
        </w:rPr>
        <w:t>truste, cartel e holding.</w:t>
      </w:r>
    </w:p>
    <w:p w14:paraId="29315031" w14:textId="77777777" w:rsidR="00805157" w:rsidRPr="00805157" w:rsidRDefault="00805157" w:rsidP="0080515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AD5C1D4" w14:textId="77777777" w:rsidR="00B928F0" w:rsidRDefault="00B928F0" w:rsidP="00B928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B9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3952C4">
        <w:rPr>
          <w:rFonts w:ascii="Arial" w:hAnsi="Arial" w:cs="Arial"/>
        </w:rPr>
        <w:t xml:space="preserve">Desde meados do século XIX até o início do século XX, as nações industrializadas europeias e os Estados Unidos da América empreenderam uma disputa por territórios na África, Ásia e América Latina. Essa disputa ficou conhecida como </w:t>
      </w:r>
      <w:r w:rsidRPr="003952C4">
        <w:rPr>
          <w:rFonts w:ascii="Arial" w:hAnsi="Arial" w:cs="Arial"/>
          <w:i/>
          <w:iCs/>
        </w:rPr>
        <w:t>imperialismo</w:t>
      </w:r>
      <w:r w:rsidRPr="003952C4">
        <w:rPr>
          <w:rFonts w:ascii="Arial" w:hAnsi="Arial" w:cs="Arial"/>
        </w:rPr>
        <w:t xml:space="preserve"> ou </w:t>
      </w:r>
      <w:r w:rsidRPr="003952C4">
        <w:rPr>
          <w:rFonts w:ascii="Arial" w:hAnsi="Arial" w:cs="Arial"/>
          <w:i/>
          <w:iCs/>
        </w:rPr>
        <w:t>neocolonialismo</w:t>
      </w:r>
      <w:r w:rsidRPr="003952C4">
        <w:rPr>
          <w:rFonts w:ascii="Arial" w:hAnsi="Arial" w:cs="Arial"/>
        </w:rPr>
        <w:t>.</w:t>
      </w:r>
    </w:p>
    <w:p w14:paraId="0AAA0194" w14:textId="5EC79CC3" w:rsidR="00B928F0" w:rsidRPr="003952C4" w:rsidRDefault="00B928F0" w:rsidP="00B928F0">
      <w:pPr>
        <w:spacing w:after="0"/>
        <w:jc w:val="both"/>
        <w:rPr>
          <w:rFonts w:ascii="Arial" w:hAnsi="Arial" w:cs="Arial"/>
        </w:rPr>
      </w:pPr>
      <w:r w:rsidRPr="003952C4">
        <w:rPr>
          <w:rFonts w:ascii="Arial" w:hAnsi="Arial" w:cs="Arial"/>
        </w:rPr>
        <w:br/>
        <w:t>Compare o imperialismo do século XIX com a expansão mercantilista ocorridas nos séculos XV e XVI, quanto ao processo de colonização.</w:t>
      </w:r>
    </w:p>
    <w:p w14:paraId="370B351A" w14:textId="77777777" w:rsidR="00B928F0" w:rsidRPr="003952C4" w:rsidRDefault="00B928F0" w:rsidP="00B928F0">
      <w:pPr>
        <w:jc w:val="both"/>
        <w:rPr>
          <w:rStyle w:val="Forte"/>
          <w:rFonts w:ascii="Arial" w:hAnsi="Arial" w:cs="Arial"/>
        </w:rPr>
      </w:pPr>
    </w:p>
    <w:p w14:paraId="4400F1F9" w14:textId="2431A248" w:rsidR="00B928F0" w:rsidRPr="00B928F0" w:rsidRDefault="00B928F0" w:rsidP="00B928F0">
      <w:pPr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5</w:t>
      </w:r>
      <w:r w:rsidRPr="002F2429">
        <w:rPr>
          <w:rStyle w:val="Forte"/>
          <w:rFonts w:ascii="Arial" w:hAnsi="Arial" w:cs="Arial"/>
        </w:rPr>
        <w:t>.</w:t>
      </w:r>
      <w:r>
        <w:rPr>
          <w:rStyle w:val="Forte"/>
          <w:rFonts w:ascii="Arial" w:hAnsi="Arial" w:cs="Arial"/>
        </w:rPr>
        <w:t xml:space="preserve"> </w:t>
      </w:r>
      <w:r w:rsidRPr="003952C4">
        <w:rPr>
          <w:rFonts w:ascii="Arial" w:hAnsi="Arial" w:cs="Arial"/>
        </w:rPr>
        <w:t>"Quando os brancos chegaram, nós tínhamos as terras e eles a Bíblia; depois eles nos ensinaram a rezar; quando abrimos os olhos, nós tínhamos a Bíblia e eles as terras". Essa frase - atribuída a Jomo Kenyatta, fundador da República do Quênia - remete à partilha da África, no quadro do imperialismo europeu.</w:t>
      </w:r>
      <w:r>
        <w:rPr>
          <w:rFonts w:ascii="Arial" w:hAnsi="Arial" w:cs="Arial"/>
        </w:rPr>
        <w:t xml:space="preserve"> </w:t>
      </w:r>
      <w:r w:rsidRPr="002F2429">
        <w:rPr>
          <w:rFonts w:ascii="Arial" w:hAnsi="Arial" w:cs="Arial"/>
        </w:rPr>
        <w:t xml:space="preserve">(NOVAES, Carlos Eduardo; RODRIGUES, Vilmar. Capitalismo para principiantes. São Paulo: Ática, 1991, p. 88). </w:t>
      </w:r>
    </w:p>
    <w:p w14:paraId="734FBAE4" w14:textId="77777777" w:rsidR="00B928F0" w:rsidRPr="003952C4" w:rsidRDefault="00B928F0" w:rsidP="00B928F0">
      <w:pPr>
        <w:jc w:val="both"/>
        <w:rPr>
          <w:rFonts w:ascii="Arial" w:hAnsi="Arial" w:cs="Arial"/>
        </w:rPr>
      </w:pPr>
      <w:r w:rsidRPr="003952C4">
        <w:rPr>
          <w:rStyle w:val="Forte"/>
          <w:rFonts w:ascii="Arial" w:hAnsi="Arial" w:cs="Arial"/>
        </w:rPr>
        <w:t>a)</w:t>
      </w:r>
      <w:r w:rsidRPr="003952C4">
        <w:rPr>
          <w:rFonts w:ascii="Arial" w:hAnsi="Arial" w:cs="Arial"/>
        </w:rPr>
        <w:t xml:space="preserve"> Comente e interprete o trecho.</w:t>
      </w:r>
    </w:p>
    <w:p w14:paraId="1369C5C5" w14:textId="53140171" w:rsidR="00B928F0" w:rsidRDefault="00B928F0" w:rsidP="00B928F0">
      <w:pPr>
        <w:jc w:val="both"/>
        <w:rPr>
          <w:rFonts w:ascii="Arial" w:hAnsi="Arial" w:cs="Arial"/>
        </w:rPr>
      </w:pPr>
      <w:r w:rsidRPr="003952C4">
        <w:rPr>
          <w:rStyle w:val="Forte"/>
          <w:rFonts w:ascii="Arial" w:hAnsi="Arial" w:cs="Arial"/>
        </w:rPr>
        <w:t>b)</w:t>
      </w:r>
      <w:r w:rsidRPr="003952C4">
        <w:rPr>
          <w:rFonts w:ascii="Arial" w:hAnsi="Arial" w:cs="Arial"/>
        </w:rPr>
        <w:t xml:space="preserve"> O que ficou determinado na Conferência de Berlim? </w:t>
      </w:r>
    </w:p>
    <w:p w14:paraId="5BD4E371" w14:textId="0E057FE2" w:rsidR="00B928F0" w:rsidRPr="002F2429" w:rsidRDefault="00B928F0" w:rsidP="00B928F0">
      <w:pPr>
        <w:jc w:val="both"/>
        <w:rPr>
          <w:rFonts w:ascii="Arial" w:hAnsi="Arial" w:cs="Arial"/>
        </w:rPr>
      </w:pPr>
      <w:r w:rsidRPr="00B928F0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0267B21D" wp14:editId="5F28C419">
            <wp:simplePos x="0" y="0"/>
            <wp:positionH relativeFrom="column">
              <wp:posOffset>2291715</wp:posOffset>
            </wp:positionH>
            <wp:positionV relativeFrom="paragraph">
              <wp:posOffset>17145</wp:posOffset>
            </wp:positionV>
            <wp:extent cx="3743325" cy="3810000"/>
            <wp:effectExtent l="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>6</w:t>
      </w:r>
      <w:r w:rsidRPr="00B928F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Pr="002F2429">
        <w:rPr>
          <w:rFonts w:ascii="Arial" w:hAnsi="Arial" w:cs="Arial"/>
        </w:rPr>
        <w:t xml:space="preserve">A ação da Prússia na condução do processo de unificação da Alemanha foi eficaz e, conforme pode ser observado na legenda do mapa ao lado, cronologicamente rápida. A anexação dos territórios que pertenciam à Dinamarca, ao Império Austro </w:t>
      </w:r>
      <w:r>
        <w:rPr>
          <w:rFonts w:ascii="Arial" w:hAnsi="Arial" w:cs="Arial"/>
        </w:rPr>
        <w:t xml:space="preserve"> </w:t>
      </w:r>
      <w:r w:rsidRPr="002F2429">
        <w:rPr>
          <w:rFonts w:ascii="Arial" w:hAnsi="Arial" w:cs="Arial"/>
        </w:rPr>
        <w:t xml:space="preserve">húngaro e à França, todavia, só foi viabilizada por meio de intensos conflitos militares que, embora tenham ocorrido no século XIX, foram de fundamental importância para a definição das alianças que se enfrentaram na I Guerra Mundial (1914-1918).  </w:t>
      </w:r>
    </w:p>
    <w:p w14:paraId="11264DD4" w14:textId="77777777" w:rsidR="00B928F0" w:rsidRPr="002F2429" w:rsidRDefault="00B928F0" w:rsidP="00B928F0">
      <w:pPr>
        <w:jc w:val="both"/>
        <w:rPr>
          <w:rFonts w:ascii="Arial" w:hAnsi="Arial" w:cs="Arial"/>
        </w:rPr>
      </w:pPr>
    </w:p>
    <w:p w14:paraId="05848773" w14:textId="77777777" w:rsidR="00B928F0" w:rsidRPr="002F2429" w:rsidRDefault="00B928F0" w:rsidP="00B928F0">
      <w:pPr>
        <w:jc w:val="both"/>
        <w:rPr>
          <w:rFonts w:ascii="Arial" w:hAnsi="Arial" w:cs="Arial"/>
        </w:rPr>
      </w:pPr>
    </w:p>
    <w:p w14:paraId="484CFA8D" w14:textId="77777777" w:rsidR="00B928F0" w:rsidRDefault="00B928F0" w:rsidP="00B928F0">
      <w:pPr>
        <w:jc w:val="both"/>
        <w:rPr>
          <w:rFonts w:ascii="Arial" w:hAnsi="Arial" w:cs="Arial"/>
        </w:rPr>
      </w:pPr>
    </w:p>
    <w:p w14:paraId="1FB5D5FB" w14:textId="77777777" w:rsidR="00B928F0" w:rsidRDefault="00B928F0" w:rsidP="00B928F0">
      <w:pPr>
        <w:jc w:val="both"/>
        <w:rPr>
          <w:rFonts w:ascii="Arial" w:hAnsi="Arial" w:cs="Arial"/>
        </w:rPr>
      </w:pPr>
    </w:p>
    <w:p w14:paraId="3697183E" w14:textId="77777777" w:rsidR="00B928F0" w:rsidRPr="002F2429" w:rsidRDefault="00B928F0" w:rsidP="00B928F0">
      <w:pPr>
        <w:jc w:val="both"/>
        <w:rPr>
          <w:rFonts w:ascii="Arial" w:hAnsi="Arial" w:cs="Arial"/>
        </w:rPr>
      </w:pPr>
    </w:p>
    <w:p w14:paraId="23A09A8A" w14:textId="74DF4DE5" w:rsidR="00B928F0" w:rsidRPr="007E2908" w:rsidRDefault="00B928F0" w:rsidP="007E2908">
      <w:pPr>
        <w:jc w:val="both"/>
        <w:rPr>
          <w:rFonts w:ascii="Arial" w:hAnsi="Arial" w:cs="Arial"/>
        </w:rPr>
      </w:pPr>
      <w:r w:rsidRPr="002F2429">
        <w:rPr>
          <w:rFonts w:ascii="Arial" w:hAnsi="Arial" w:cs="Arial"/>
        </w:rPr>
        <w:t>Com base no mapa da Unificação Alemã, explique o conflito territorial envolvendo França e Alemanha presente na Guerra Franco-Prussiana e na I Guerra Mundial.</w:t>
      </w:r>
    </w:p>
    <w:sectPr w:rsidR="00B928F0" w:rsidRPr="007E2908" w:rsidSect="007E2908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154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A155E5"/>
    <w:multiLevelType w:val="hybridMultilevel"/>
    <w:tmpl w:val="109A4DD6"/>
    <w:lvl w:ilvl="0" w:tplc="9DCE7C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602670">
    <w:abstractNumId w:val="1"/>
  </w:num>
  <w:num w:numId="2" w16cid:durableId="78199487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34"/>
    <w:rsid w:val="00767B0A"/>
    <w:rsid w:val="007C66EE"/>
    <w:rsid w:val="007C6F71"/>
    <w:rsid w:val="007E2908"/>
    <w:rsid w:val="00805157"/>
    <w:rsid w:val="00AB0491"/>
    <w:rsid w:val="00B928F0"/>
    <w:rsid w:val="00CD34F7"/>
    <w:rsid w:val="00D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580"/>
  <w15:chartTrackingRefBased/>
  <w15:docId w15:val="{F1CEC2BA-9315-4161-B369-7E3E231F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3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2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1234"/>
    <w:rPr>
      <w:color w:val="0563C1" w:themeColor="hyperlink"/>
      <w:u w:val="single"/>
    </w:rPr>
  </w:style>
  <w:style w:type="character" w:styleId="Forte">
    <w:name w:val="Strong"/>
    <w:basedOn w:val="Fontepargpadro"/>
    <w:qFormat/>
    <w:rsid w:val="00B92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Thiel Della Cruz</dc:creator>
  <cp:keywords/>
  <dc:description/>
  <cp:lastModifiedBy>gisele thiel</cp:lastModifiedBy>
  <cp:revision>4</cp:revision>
  <dcterms:created xsi:type="dcterms:W3CDTF">2025-04-03T10:47:00Z</dcterms:created>
  <dcterms:modified xsi:type="dcterms:W3CDTF">2025-04-03T10:49:00Z</dcterms:modified>
</cp:coreProperties>
</file>