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color w:val="1F4E79" w:themeColor="accent1" w:themeShade="80"/>
        </w:rPr>
      </w:pPr>
      <w:r>
        <w:rPr/>
        <w:drawing>
          <wp:inline distT="0" distB="0" distL="0" distR="0">
            <wp:extent cx="6931025" cy="172656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3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b/>
          <w:color w:val="1F4E79" w:themeColor="accent1" w:themeShade="80"/>
        </w:rPr>
        <w:t>Sociologia – 3ª Série EM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color w:val="2F5496" w:themeColor="accent5" w:themeShade="bf"/>
        </w:rPr>
      </w:pPr>
      <w:r>
        <w:rPr>
          <w:rFonts w:cs="Arial" w:ascii="Arial" w:hAnsi="Arial"/>
          <w:b/>
          <w:color w:val="1F4E79" w:themeColor="accent1" w:themeShade="80"/>
        </w:rPr>
        <w:t>Professor</w:t>
      </w:r>
      <w:r>
        <w:rPr>
          <w:rFonts w:cs="Arial" w:ascii="Arial" w:hAnsi="Arial"/>
          <w:b/>
          <w:color w:val="2F5496" w:themeColor="accent5" w:themeShade="bf"/>
        </w:rPr>
        <w:t xml:space="preserve"> Gabriel</w:t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mc:AlternateContent>
          <mc:Choice Requires="wps">
            <w:drawing>
              <wp:anchor behindDoc="0" distT="34290" distB="90805" distL="0" distR="140970" simplePos="0" locked="0" layoutInCell="0" allowOverlap="1" relativeHeight="3" wp14:anchorId="20AEF1FE">
                <wp:simplePos x="0" y="0"/>
                <wp:positionH relativeFrom="column">
                  <wp:posOffset>-7620</wp:posOffset>
                </wp:positionH>
                <wp:positionV relativeFrom="paragraph">
                  <wp:posOffset>45085</wp:posOffset>
                </wp:positionV>
                <wp:extent cx="6819265" cy="676910"/>
                <wp:effectExtent l="0" t="5080" r="4445" b="5080"/>
                <wp:wrapSquare wrapText="bothSides"/>
                <wp:docPr id="2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120" cy="6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76" w:before="0" w:after="0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1F4E79" w:themeColor="accent1" w:themeShade="80"/>
                              </w:rPr>
                              <w:t>Objetos de conhecimentos:</w:t>
                            </w:r>
                          </w:p>
                          <w:p>
                            <w:pPr>
                              <w:pStyle w:val="Contedodoquadro"/>
                              <w:spacing w:lineRule="auto" w:line="276" w:before="0"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 w:themeColor="text1"/>
                              </w:rPr>
                              <w:t>Compreender os principais conceitos do pensamento sociológico marxista: meios de produção, modos de produção, classes sociais, alienação, superestrutura e ideologia.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path="m0,0l-2147483645,0l-2147483645,-2147483646l0,-2147483646xe" fillcolor="white" stroked="t" o:allowincell="f" style="position:absolute;margin-left:-0.6pt;margin-top:3.55pt;width:536.9pt;height:53.25pt;mso-wrap-style:square;v-text-anchor:top" wp14:anchorId="20AEF1F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pacing w:lineRule="auto" w:line="276" w:before="0" w:after="0"/>
                        <w:rPr>
                          <w:rFonts w:ascii="Arial" w:hAnsi="Arial" w:cs="Arial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1F4E79" w:themeColor="accent1" w:themeShade="80"/>
                        </w:rPr>
                        <w:t>Objetos de conhecimentos:</w:t>
                      </w:r>
                    </w:p>
                    <w:p>
                      <w:pPr>
                        <w:pStyle w:val="Contedodoquadro"/>
                        <w:spacing w:lineRule="auto" w:line="276" w:before="0"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cs="Arial" w:ascii="Arial" w:hAnsi="Arial"/>
                          <w:color w:val="000000" w:themeColor="text1"/>
                        </w:rPr>
                        <w:t>Compreender os principais conceitos do pensamento sociológico marxista: meios de produção, modos de produção, classes sociais, alienação, superestrutura e ideologia.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/>
          <w:b/>
          <w:bCs/>
        </w:rPr>
        <w:t>Responda às questões abaixo. Caso utilize alguma referência externa, inclua-a nas referências ao final.</w:t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/>
      </w:r>
    </w:p>
    <w:p>
      <w:pPr>
        <w:pStyle w:val="Normal"/>
        <w:spacing w:lineRule="auto" w:line="276" w:before="0" w:after="0"/>
        <w:rPr>
          <w:rFonts w:ascii="Arial" w:hAnsi="Arial" w:cs="Arial"/>
          <w:b/>
          <w:color w:val="000000" w:themeColor="text1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915"/>
      </w:tblGrid>
      <w:tr>
        <w:trPr/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Enquanto as sociedades estiveram limitadas por uma capacidade produtiva exígua, a sobrevivência de seus membros só era garantida por meio de uma luta constante para obter da natureza o indispensável. A organização social era simples e existia apenas a </w:t>
            </w:r>
            <w:r>
              <w:rPr>
                <w:rFonts w:cs="Arial" w:ascii="Arial" w:hAnsi="Arial"/>
                <w:i/>
                <w:iCs/>
              </w:rPr>
              <w:t xml:space="preserve">divisão natural do trabalho </w:t>
            </w:r>
            <w:r>
              <w:rPr>
                <w:rFonts w:cs="Arial" w:ascii="Arial" w:hAnsi="Arial"/>
              </w:rPr>
              <w:t>segundo a idade, a força física e o gênero. Ou seja, ‘numa época em que duas mãos não podem produzir mais do que o que uma boca consome, não existem bases econômicas’ que possibilitem que uns vivam do trabalho de outros, seja na forma de trabalho escravo ou de qualquer outro modo de exploração.</w:t>
            </w:r>
          </w:p>
          <w:p>
            <w:pPr>
              <w:pStyle w:val="Contedodatabe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É o surgimento de um </w:t>
            </w:r>
            <w:r>
              <w:rPr>
                <w:rFonts w:cs="Arial" w:ascii="Arial" w:hAnsi="Arial"/>
                <w:i/>
                <w:iCs/>
              </w:rPr>
              <w:t>excedente</w:t>
            </w:r>
            <w:r>
              <w:rPr>
                <w:rFonts w:cs="Arial" w:ascii="Arial" w:hAnsi="Arial"/>
              </w:rPr>
              <w:t xml:space="preserve"> da produção que permite a divisão social do trabalho, assim como a apropriação das condições de produção por parte de alguns membros da comunidade, os quais passam, então a estabelecer algum tipo de direito sobre o produto ou sobre os próprios trabalhadores. Vê-se, portanto, que a existência das classes sociais vincula-se a circunstâncias históricas específicas, quais sejam, aquelas em que a criação de um excedente possibilita a </w:t>
            </w:r>
            <w:r>
              <w:rPr>
                <w:rFonts w:cs="Arial" w:ascii="Arial" w:hAnsi="Arial"/>
                <w:i/>
                <w:iCs/>
              </w:rPr>
              <w:t>apropriação privada</w:t>
            </w:r>
            <w:r>
              <w:rPr>
                <w:rFonts w:cs="Arial" w:ascii="Arial" w:hAnsi="Arial"/>
              </w:rPr>
              <w:t xml:space="preserve"> das condições de produção.</w:t>
            </w:r>
          </w:p>
          <w:p>
            <w:pPr>
              <w:pStyle w:val="Contedodatabela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 configuração básica de classes nos termos expostos acima expressa-se, de maneira simplificada, num modelo dicotômico: de um lado, os proprietários ou possuidores dos meios de produção, de outro, os que não os possuem. Historicamente, essa polaridade apresenta-se de diferentes maneiras conforme as relações sociais e econômicas de cada época. Daí os escravos e patrícios, servos e senhores feudais, aprendizes e mestres, trabalhadores livres e capitalistas.”</w:t>
            </w:r>
          </w:p>
        </w:tc>
      </w:tr>
    </w:tbl>
    <w:p>
      <w:pPr>
        <w:pStyle w:val="Normal"/>
        <w:spacing w:lineRule="auto" w:line="276" w:before="0" w:after="0"/>
        <w:jc w:val="right"/>
        <w:rPr>
          <w:rFonts w:ascii="Arial" w:hAnsi="Arial" w:cs="Arial"/>
          <w:b/>
          <w:color w:val="000000" w:themeColor="text1"/>
        </w:rPr>
      </w:pPr>
      <w:r>
        <w:rPr>
          <w:rFonts w:cs="Arial" w:ascii="Arial" w:hAnsi="Arial"/>
          <w:color w:val="000000" w:themeColor="text1"/>
          <w:sz w:val="20"/>
          <w:szCs w:val="20"/>
        </w:rPr>
        <w:t>QUINTANEIRO, T. Et al. Um Toque de Clássicos. p. 39-40. (Adaptado)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  <w:t>1</w:t>
      </w:r>
      <w:r>
        <w:rPr>
          <w:rFonts w:cs="Arial" w:ascii="Arial" w:hAnsi="Arial"/>
          <w:b/>
          <w:color w:val="000000" w:themeColor="text1"/>
        </w:rPr>
        <w:t xml:space="preserve">. Com base em seus conhecimentos e na leitura do texto, assinale a alternativa que explica o significado da expressão </w:t>
      </w:r>
      <w:r>
        <w:rPr>
          <w:rFonts w:cs="Arial" w:ascii="Arial" w:hAnsi="Arial"/>
          <w:b/>
          <w:i/>
          <w:iCs/>
          <w:color w:val="000000" w:themeColor="text1"/>
        </w:rPr>
        <w:t>meios de produção</w:t>
      </w:r>
      <w:r>
        <w:rPr>
          <w:rFonts w:cs="Arial" w:ascii="Arial" w:hAnsi="Arial"/>
          <w:b/>
          <w:color w:val="000000" w:themeColor="text1"/>
        </w:rPr>
        <w:t xml:space="preserve"> para a teoria sociológica marxista.</w:t>
      </w:r>
    </w:p>
    <w:p>
      <w:pPr>
        <w:pStyle w:val="ListParagraph"/>
        <w:spacing w:lineRule="auto" w:line="276" w:before="0" w:after="0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cs="Arial" w:ascii="Arial" w:hAnsi="Arial"/>
          <w:color w:val="000000" w:themeColor="text1"/>
        </w:rPr>
        <w:t>a) Qualquer bem pode ser considerado um meio de produção</w:t>
      </w:r>
      <w:r>
        <w:rPr>
          <w:rFonts w:cs="Arial" w:ascii="Arial" w:hAnsi="Arial"/>
          <w:bCs/>
          <w:color w:val="000000" w:themeColor="text1"/>
        </w:rPr>
        <w:t>, desde fábricas até bens de uso individual como casas e objetos particulares;</w:t>
      </w:r>
    </w:p>
    <w:p>
      <w:pPr>
        <w:pStyle w:val="ListParagraph"/>
        <w:spacing w:lineRule="auto" w:line="276" w:before="57" w:after="57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cs="Arial" w:ascii="Arial" w:hAnsi="Arial"/>
          <w:color w:val="000000" w:themeColor="text1"/>
        </w:rPr>
        <w:t>b)</w:t>
      </w:r>
      <w:r>
        <w:rPr>
          <w:rFonts w:cs="Arial" w:ascii="Arial" w:hAnsi="Arial"/>
          <w:bCs/>
          <w:color w:val="000000" w:themeColor="text1"/>
        </w:rPr>
        <w:t xml:space="preserve"> Os meios de produção são recursos estratégicos cuja capacidade produtiva é necessária para toda a sociedade, sendo sua propriedade um fator determinante nas relações de poder entre as pessoas</w:t>
      </w:r>
      <w:r>
        <w:rPr>
          <w:rFonts w:cs="Arial" w:ascii="Arial" w:hAnsi="Arial"/>
          <w:color w:val="000000" w:themeColor="text1"/>
        </w:rPr>
        <w:t>;</w:t>
      </w:r>
    </w:p>
    <w:p>
      <w:pPr>
        <w:pStyle w:val="ListParagraph"/>
        <w:spacing w:lineRule="auto" w:line="276" w:before="57" w:after="57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c) </w:t>
      </w:r>
      <w:r>
        <w:rPr>
          <w:rFonts w:cs="Arial" w:ascii="Arial" w:hAnsi="Arial"/>
          <w:bCs/>
          <w:color w:val="000000" w:themeColor="text1"/>
        </w:rPr>
        <w:t>Meios de produção são os recursos de que todas as pessoas precisam, e que, por isso, todos sempre tem o direito de decidir como são utilizados;</w:t>
      </w:r>
    </w:p>
    <w:p>
      <w:pPr>
        <w:pStyle w:val="ListParagraph"/>
        <w:spacing w:lineRule="auto" w:line="276" w:before="57" w:after="57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cs="Arial" w:ascii="Arial" w:hAnsi="Arial"/>
          <w:color w:val="000000" w:themeColor="text1"/>
        </w:rPr>
        <w:t>d) Os meios de produção se resumem exclusivamente ao dinheiro investido pelos capitalistas na economia;</w:t>
      </w:r>
    </w:p>
    <w:p>
      <w:pPr>
        <w:pStyle w:val="ListParagraph"/>
        <w:spacing w:lineRule="auto" w:line="276" w:before="57" w:after="57"/>
        <w:contextualSpacing/>
        <w:jc w:val="both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 w:themeColor="text1"/>
        </w:rPr>
        <w:t>e) Apesar de poderem ser comprados com dinheiro, apenas recursos materiais, como fábricas, fazendas e matérias-primas, podem ser considerados meios de produção.</w:t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/>
      </w:r>
      <w:r>
        <w:br w:type="page"/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>
          <w:rFonts w:ascii="Arial" w:hAnsi="Arial"/>
          <w:b/>
          <w:bCs/>
        </w:rPr>
        <w:t>2. Cite três exemplos de meios de produção.</w:t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/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 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/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b/>
          <w:bCs/>
          <w:color w:val="000000" w:themeColor="text1"/>
        </w:rPr>
        <w:t>3. Por que o controle sobre os Meios de Produção é um controle sobre toda a sociedade?</w:t>
      </w:r>
      <w:r>
        <w:rPr>
          <w:rFonts w:cs="Arial" w:ascii="Arial" w:hAnsi="Arial"/>
          <w:color w:val="000000" w:themeColor="text1"/>
        </w:rPr>
        <w:t xml:space="preserve">_________________________________________________________________________________________  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 w:themeColor="text1"/>
        </w:rPr>
      </w:pPr>
      <w:r>
        <w:rPr/>
      </w:r>
    </w:p>
    <w:p>
      <w:pPr>
        <w:pStyle w:val="Normal"/>
        <w:spacing w:lineRule="auto" w:line="360" w:before="0" w:after="0"/>
        <w:rPr>
          <w:b/>
          <w:bCs/>
        </w:rPr>
      </w:pPr>
      <w:r>
        <w:rPr>
          <w:rFonts w:cs="Arial" w:ascii="Arial" w:hAnsi="Arial"/>
          <w:b/>
          <w:bCs/>
          <w:color w:val="000000" w:themeColor="text1"/>
        </w:rPr>
        <w:t>Leia os dois trechos abaixo, que tratam do conceito de Alienação.</w:t>
      </w:r>
    </w:p>
    <w:p>
      <w:pPr>
        <w:pStyle w:val="Normal"/>
        <w:spacing w:lineRule="auto" w:line="360" w:before="0" w:after="0"/>
        <w:rPr>
          <w:b/>
          <w:bCs/>
        </w:rPr>
      </w:pPr>
      <w:r>
        <w:rPr>
          <w:rFonts w:cs="Arial" w:ascii="Arial" w:hAnsi="Arial"/>
          <w:b/>
          <w:bCs/>
          <w:color w:val="000000" w:themeColor="text1"/>
        </w:rPr>
        <w:t>Texto 1 - Hegel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915"/>
      </w:tblGrid>
      <w:tr>
        <w:trPr/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 xml:space="preserve">Outro tópico recorrente no pensamento político e filosófico, sobretudo ao longo do século 18, refere-se à perda de autocontrole </w:t>
            </w:r>
            <w:r>
              <w:rPr>
                <w:rFonts w:cs="Arial" w:ascii="Arial" w:hAnsi="Arial"/>
              </w:rPr>
              <w:t>p</w:t>
            </w:r>
            <w:r>
              <w:rPr>
                <w:rFonts w:cs="Arial" w:ascii="Arial" w:hAnsi="Arial"/>
              </w:rPr>
              <w:t xml:space="preserve">or parte dos seres humanos, subjugados pela sua própria criação: a riqueza da vida material e seus refinamentos. Esse tema reflete-se na ideia hegeliana de </w:t>
            </w:r>
            <w:r>
              <w:rPr>
                <w:rFonts w:cs="Arial" w:ascii="Arial" w:hAnsi="Arial"/>
                <w:i/>
                <w:iCs/>
              </w:rPr>
              <w:t>consciência alienada</w:t>
            </w:r>
            <w:r>
              <w:rPr>
                <w:rFonts w:cs="Arial" w:ascii="Arial" w:hAnsi="Arial"/>
              </w:rPr>
              <w:t>, separada da realidade, ‘a consciência de si com</w:t>
            </w:r>
            <w:r>
              <w:rPr>
                <w:rFonts w:cs="Arial" w:ascii="Arial" w:hAnsi="Arial"/>
              </w:rPr>
              <w:t>o</w:t>
            </w:r>
            <w:r>
              <w:rPr>
                <w:rFonts w:cs="Arial" w:ascii="Arial" w:hAnsi="Arial"/>
              </w:rPr>
              <w:t xml:space="preserve"> natureza dividida’. De fato, para o filósofo idealista, ser livre significa recuperar a autoconsciência, e a história dos povos é o processo através do qual a Razão alcança progressivamente esse destino.”</w:t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b/>
          <w:bCs/>
        </w:rPr>
      </w:r>
    </w:p>
    <w:p>
      <w:pPr>
        <w:pStyle w:val="Normal"/>
        <w:spacing w:lineRule="auto" w:line="360" w:before="0" w:after="0"/>
        <w:rPr>
          <w:b/>
          <w:bCs/>
        </w:rPr>
      </w:pPr>
      <w:r>
        <w:rPr>
          <w:rFonts w:cs="Arial" w:ascii="Arial" w:hAnsi="Arial"/>
          <w:b/>
          <w:bCs/>
          <w:color w:val="000000" w:themeColor="text1"/>
        </w:rPr>
        <w:t>Texto 2 - Marx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915"/>
      </w:tblGrid>
      <w:tr>
        <w:trPr/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Marx sublinha três aspectos da alienação: 1) o trabalhador relaciona-se com produto do seu trabalho como com algo alheio a ele, que o domina e lhe é adverso, e relaciona-se da mesma forma com os objetos naturais do mundo externo; o trabalhador é alienado em relação às coisas; 2) a atividade do trabalhador tampouco está sob seu domínio, ele a percebe como estranha a si próprio, assim como sua vida pessoal e sua energia física e espiritual, sentidas como atividades que não lhe pertencem; trabalhador alienado em relação a si mesmo; 3) a vida genérica ou produtiva do ser humano torna-se apenas meio de vida para o trabalhador, ou seja, seu trabalho - que é sua atividade vital consciente e que o distingue dos animais - deixa de ser livre e passa a ser unicamente meio para que sobreviva.</w:t>
            </w:r>
          </w:p>
        </w:tc>
      </w:tr>
    </w:tbl>
    <w:p>
      <w:pPr>
        <w:pStyle w:val="Normal"/>
        <w:spacing w:lineRule="auto" w:line="360" w:before="0" w:after="0"/>
        <w:rPr>
          <w:rFonts w:ascii="Arial" w:hAnsi="Arial" w:cs="Arial"/>
          <w:b/>
          <w:bCs/>
          <w:color w:val="000000" w:themeColor="text1"/>
        </w:rPr>
      </w:pPr>
      <w:r>
        <w:rPr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color w:val="000000" w:themeColor="text1"/>
        </w:rPr>
        <w:t>4. Compare os conceitos de Alienação de Hegel e de Marx</w:t>
      </w:r>
      <w:r>
        <w:rPr>
          <w:rFonts w:cs="Arial" w:ascii="Arial" w:hAnsi="Arial"/>
          <w:b w:val="false"/>
          <w:bCs w:val="false"/>
          <w:color w:val="000000" w:themeColor="text1"/>
        </w:rPr>
        <w:t>.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 w:themeColor="text1"/>
        </w:rPr>
      </w:pPr>
      <w:r>
        <w:rPr/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_________________________________________________________________________________________  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color w:val="000000" w:themeColor="text1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b/>
          <w:bCs/>
        </w:rPr>
      </w:pPr>
      <w:r>
        <w:rPr>
          <w:rFonts w:cs="Arial" w:ascii="Arial" w:hAnsi="Arial"/>
          <w:b/>
          <w:bCs/>
          <w:color w:val="000000" w:themeColor="text1"/>
        </w:rPr>
        <w:t>Leia o texto abaixo, que trata das Forças Produtivas e das Relações de Produção, que, juntas, definem os diferentes Modos de Produção.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915"/>
      </w:tblGrid>
      <w:tr>
        <w:trPr/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Assim sendo, as noções de forças produtivas e de relações sociais de produ</w:t>
            </w:r>
            <w:r>
              <w:rPr>
                <w:rFonts w:cs="Arial" w:ascii="Arial" w:hAnsi="Arial"/>
              </w:rPr>
              <w:t>ç</w:t>
            </w:r>
            <w:r>
              <w:rPr>
                <w:rFonts w:cs="Arial" w:ascii="Arial" w:hAnsi="Arial"/>
              </w:rPr>
              <w:t>ão mostram que tais rela</w:t>
            </w:r>
            <w:r>
              <w:rPr>
                <w:rFonts w:cs="Arial" w:ascii="Arial" w:hAnsi="Arial"/>
              </w:rPr>
              <w:t>ç</w:t>
            </w:r>
            <w:r>
              <w:rPr>
                <w:rFonts w:cs="Arial" w:ascii="Arial" w:hAnsi="Arial"/>
              </w:rPr>
              <w:t>ões se interligam de modo que as mudanças em uma provocam alterações na outra. Em resumo, o conceito de for</w:t>
            </w:r>
            <w:r>
              <w:rPr>
                <w:rFonts w:cs="Arial" w:ascii="Arial" w:hAnsi="Arial"/>
              </w:rPr>
              <w:t xml:space="preserve">ças produtivas refere-se aos </w:t>
            </w:r>
            <w:r>
              <w:rPr>
                <w:rFonts w:cs="Arial" w:ascii="Arial" w:hAnsi="Arial"/>
              </w:rPr>
              <w:t xml:space="preserve">instrumentos habilidades que possibilitam </w:t>
            </w:r>
            <w:r>
              <w:rPr>
                <w:rFonts w:cs="Arial" w:ascii="Arial" w:hAnsi="Arial"/>
              </w:rPr>
              <w:t>o</w:t>
            </w:r>
            <w:r>
              <w:rPr>
                <w:rFonts w:cs="Arial" w:ascii="Arial" w:hAnsi="Arial"/>
              </w:rPr>
              <w:t xml:space="preserve"> controle das condições naturais para a produção, e seu desenvolvimento é em geral cumulativo. O conceito de relações sociais de produção trata das diferentes formas de organização da produção e distribuição, de posse e tipos de propriedade dos meios de produção, bem como e que se constituem no substrato para a estrutura</w:t>
            </w:r>
            <w:r>
              <w:rPr>
                <w:rFonts w:cs="Arial" w:ascii="Arial" w:hAnsi="Arial"/>
              </w:rPr>
              <w:t>ç</w:t>
            </w:r>
            <w:r>
              <w:rPr>
                <w:rFonts w:cs="Arial" w:ascii="Arial" w:hAnsi="Arial"/>
              </w:rPr>
              <w:t>ão das desigualdades expressas na forma de classes sociais. O primeiro trata das relações homem/natureza e o segundo das relações entre os homens no processo produtivo.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Arial" w:hAnsi="Arial" w:cs="Arial"/>
          <w:b w:val="false"/>
          <w:bCs w:val="false"/>
          <w:color w:val="000000" w:themeColor="text1"/>
        </w:rPr>
      </w:pPr>
      <w:r>
        <w:rPr/>
      </w:r>
    </w:p>
    <w:p>
      <w:pPr>
        <w:pStyle w:val="Normal"/>
        <w:spacing w:lineRule="auto" w:line="360" w:before="0" w:after="0"/>
        <w:rPr/>
      </w:pPr>
      <w:r>
        <w:rPr>
          <w:rFonts w:ascii="Arial" w:hAnsi="Arial"/>
          <w:b/>
          <w:bCs/>
        </w:rPr>
        <w:t>2. Preencha a seguinte tabela, que esquematiza os diversos Modos de Produção identificados por Marx.</w:t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/>
      </w:r>
    </w:p>
    <w:tbl>
      <w:tblPr>
        <w:tblW w:w="5000" w:type="pct"/>
        <w:jc w:val="lef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9"/>
        <w:gridCol w:w="1559"/>
        <w:gridCol w:w="1559"/>
        <w:gridCol w:w="1560"/>
        <w:gridCol w:w="1559"/>
        <w:gridCol w:w="1559"/>
        <w:gridCol w:w="1560"/>
      </w:tblGrid>
      <w:tr>
        <w:trPr/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Comunismo primitivo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“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Asiático”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Escravista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Feudal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Capitalista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Comunista</w:t>
            </w:r>
          </w:p>
        </w:tc>
      </w:tr>
      <w:tr>
        <w:trPr/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Classes sociais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Classe dominante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Tecnologia (Forças produtivas)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Forma de trabalho (Relações de produção)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>
          <w:b/>
          <w:bCs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>
          <w:rFonts w:ascii="Arial" w:hAnsi="Arial"/>
          <w:b/>
          <w:bCs/>
        </w:rPr>
        <w:t>Fontes e Referências utilizadas:</w:t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/>
      </w:r>
    </w:p>
    <w:sectPr>
      <w:type w:val="nextPage"/>
      <w:pgSz w:w="11906" w:h="16838"/>
      <w:pgMar w:left="567" w:right="424" w:gutter="0" w:header="0" w:top="568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5f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f5f78"/>
    <w:rPr/>
  </w:style>
  <w:style w:type="character" w:styleId="RodapChar" w:customStyle="1">
    <w:name w:val="Rodapé Char"/>
    <w:basedOn w:val="DefaultParagraphFont"/>
    <w:uiPriority w:val="99"/>
    <w:qFormat/>
    <w:rsid w:val="00f60e30"/>
    <w:rPr/>
  </w:style>
  <w:style w:type="character" w:styleId="LinkdaInternet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f5f7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60e3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uiPriority w:val="34"/>
    <w:qFormat/>
    <w:rsid w:val="001665ab"/>
    <w:pPr>
      <w:spacing w:before="0" w:after="160"/>
      <w:ind w:left="720" w:hanging="0"/>
      <w:contextualSpacing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665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LibreOffice/7.5.9.2$Windows_X86_64 LibreOffice_project/cdeefe45c17511d326101eed8008ac4092f278a9</Application>
  <AppVersion>15.0000</AppVersion>
  <Pages>3</Pages>
  <Words>912</Words>
  <Characters>6249</Characters>
  <CharactersWithSpaces>7119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2025-02-13T13:42:00Z</dcterms:created>
  <dc:creator>Aura</dc:creator>
  <dc:description/>
  <dc:language>pt-BR</dc:language>
  <cp:lastModifiedBy/>
  <dcterms:modified xsi:type="dcterms:W3CDTF">2026-03-04T00:23:03Z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